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附件1：</w:t>
      </w:r>
    </w:p>
    <w:p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中国研究型医院学会系统康复医学专业委员会成立会议暨首届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脑卒中减残康复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论坛议程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962"/>
        <w:gridCol w:w="3827"/>
      </w:tblGrid>
      <w:tr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2E74B5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2024年4月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9日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星期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五</w:t>
            </w:r>
          </w:p>
        </w:tc>
      </w:tr>
      <w:tr>
        <w:trPr>
          <w:jc w:val="center"/>
        </w:trPr>
        <w:tc>
          <w:tcPr>
            <w:tcW w:w="1134" w:type="dxa"/>
            <w:tcBorders>
              <w:top w:val="nil"/>
              <w:left w:val="nil"/>
              <w:right w:val="single" w:sz="8" w:space="0" w:color="FFFFFF"/>
            </w:tcBorders>
            <w:shd w:val="solid" w:color="BDD6EE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962" w:type="dxa"/>
            <w:tcBorders>
              <w:top w:val="single" w:sz="8" w:space="0" w:color="538DD5"/>
              <w:left w:val="nil"/>
              <w:right w:val="single" w:sz="8" w:space="0" w:color="FFFFFF"/>
            </w:tcBorders>
            <w:shd w:val="solid" w:color="BDD6EE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事项</w:t>
            </w:r>
          </w:p>
        </w:tc>
        <w:tc>
          <w:tcPr>
            <w:tcW w:w="3827" w:type="dxa"/>
            <w:tcBorders>
              <w:top w:val="single" w:sz="8" w:space="0" w:color="538DD5"/>
              <w:left w:val="nil"/>
              <w:right w:val="single" w:sz="8" w:space="0" w:color="FFFFFF"/>
            </w:tcBorders>
            <w:shd w:val="solid" w:color="BDD6EE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</w:tr>
      <w:tr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</w:rPr>
              <w:t>:00-17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00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报道和注册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北京市铁道大厦</w:t>
            </w:r>
          </w:p>
        </w:tc>
      </w:tr>
      <w:tr>
        <w:trPr>
          <w:jc w:val="center"/>
        </w:trPr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538DD5"/>
              <w:right w:val="nil"/>
            </w:tcBorders>
            <w:vAlign w:val="center"/>
          </w:tcPr>
          <w:p>
            <w:pPr>
              <w:widowControl/>
              <w:ind w:left="6240" w:hangingChars="2600" w:hanging="6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>30-21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30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系统康复医学专委会选举、成立大会及</w:t>
            </w:r>
          </w:p>
          <w:p>
            <w:pPr>
              <w:widowControl/>
              <w:ind w:firstLineChars="850" w:firstLine="20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党建小组成立会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538DD5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北京世纪坛医院住院一部</w:t>
            </w: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层报告厅</w:t>
            </w:r>
          </w:p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主持人：中国研究型医院学会</w:t>
            </w:r>
          </w:p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副秘书长郝瑞生</w:t>
            </w:r>
          </w:p>
        </w:tc>
      </w:tr>
    </w:tbl>
    <w:p>
      <w:pPr>
        <w:rPr>
          <w:rFonts w:ascii="宋体" w:eastAsia="宋体" w:hAnsi="宋体"/>
          <w:sz w:val="24"/>
        </w:rPr>
      </w:pPr>
    </w:p>
    <w:tbl>
      <w:tblPr>
        <w:tblStyle w:val="a4"/>
        <w:tblW w:w="9923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3549"/>
      </w:tblGrid>
      <w:tr>
        <w:trPr>
          <w:trHeight w:val="422"/>
        </w:trPr>
        <w:tc>
          <w:tcPr>
            <w:tcW w:w="9923" w:type="dxa"/>
            <w:gridSpan w:val="3"/>
            <w:tcBorders>
              <w:bottom w:val="nil"/>
            </w:tcBorders>
            <w:shd w:val="solid" w:color="2E74B5" w:themeColor="accent1" w:themeShade="BF" w:fill="auto"/>
          </w:tcPr>
          <w:p>
            <w:pPr>
              <w:ind w:firstLineChars="1250" w:firstLine="301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</w:rPr>
              <w:t>024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年4月2</w:t>
            </w:r>
            <w:r>
              <w:rPr>
                <w:rFonts w:ascii="宋体" w:eastAsia="宋体" w:hAnsi="宋体"/>
                <w:b/>
                <w:bCs/>
                <w:sz w:val="24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日 星期六</w:t>
            </w:r>
          </w:p>
        </w:tc>
      </w:tr>
      <w:tr>
        <w:trPr>
          <w:trHeight w:val="393"/>
        </w:trPr>
        <w:tc>
          <w:tcPr>
            <w:tcW w:w="6374" w:type="dxa"/>
            <w:gridSpan w:val="2"/>
            <w:tcBorders>
              <w:top w:val="nil"/>
              <w:bottom w:val="nil"/>
              <w:right w:val="nil"/>
            </w:tcBorders>
            <w:shd w:val="solid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主题发言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shd w:val="solid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姜悦、董继革</w:t>
            </w:r>
          </w:p>
        </w:tc>
      </w:tr>
      <w:tr>
        <w:trPr>
          <w:trHeight w:val="592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00-9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康复过程中如何做好肌肉力量训练--肌肉力量平衡</w:t>
            </w:r>
          </w:p>
        </w:tc>
        <w:tc>
          <w:tcPr>
            <w:tcW w:w="3549" w:type="dxa"/>
            <w:tcBorders>
              <w:top w:val="nil"/>
              <w:lef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陈亚平</w:t>
            </w:r>
          </w:p>
        </w:tc>
      </w:tr>
      <w:tr>
        <w:trPr>
          <w:trHeight w:val="260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15-9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阻碍严重脑损伤康复的常见原因</w:t>
            </w:r>
          </w:p>
        </w:tc>
        <w:tc>
          <w:tcPr>
            <w:tcW w:w="3549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吴军发</w:t>
            </w:r>
          </w:p>
        </w:tc>
      </w:tr>
      <w:tr>
        <w:trPr>
          <w:trHeight w:val="223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30-9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肌筋膜理论与脑卒中康复的碰撞</w:t>
            </w:r>
          </w:p>
        </w:tc>
        <w:tc>
          <w:tcPr>
            <w:tcW w:w="3549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陈雪丽</w:t>
            </w:r>
          </w:p>
        </w:tc>
      </w:tr>
      <w:tr>
        <w:trPr>
          <w:trHeight w:val="326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45-10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认知-运动双重任务训练</w:t>
            </w:r>
          </w:p>
        </w:tc>
        <w:tc>
          <w:tcPr>
            <w:tcW w:w="3549" w:type="dxa"/>
            <w:tcBorders>
              <w:left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公维军</w:t>
            </w:r>
            <w:proofErr w:type="gramEnd"/>
          </w:p>
        </w:tc>
      </w:tr>
      <w:tr>
        <w:trPr>
          <w:trHeight w:val="288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solid" w:color="BDD6EE" w:themeColor="accent1" w:themeTint="66" w:fill="auto"/>
          </w:tcPr>
          <w:p>
            <w:pPr>
              <w:tabs>
                <w:tab w:val="center" w:pos="4499"/>
              </w:tabs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领导致辞              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</w:rPr>
              <w:t>主持人： 吉训明</w:t>
            </w:r>
          </w:p>
        </w:tc>
      </w:tr>
      <w:tr>
        <w:trPr>
          <w:trHeight w:val="288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BDD6EE" w:themeColor="accent1" w:themeTint="66" w:fill="auto"/>
          </w:tcPr>
          <w:p>
            <w:pPr>
              <w:tabs>
                <w:tab w:val="left" w:pos="2836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00-10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 xml:space="preserve">45     </w:t>
            </w:r>
            <w:r>
              <w:rPr>
                <w:rFonts w:ascii="宋体" w:eastAsia="宋体" w:hAnsi="宋体" w:hint="eastAsia"/>
                <w:sz w:val="24"/>
              </w:rPr>
              <w:t>领导致辞</w:t>
            </w:r>
          </w:p>
        </w:tc>
      </w:tr>
      <w:tr>
        <w:trPr>
          <w:trHeight w:val="288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solid" w:color="BDD6EE" w:themeColor="accent1" w:themeTint="66" w:fill="auto"/>
          </w:tcPr>
          <w:p>
            <w:pPr>
              <w:tabs>
                <w:tab w:val="center" w:pos="4499"/>
              </w:tabs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主旨发言</w:t>
            </w:r>
          </w:p>
        </w:tc>
      </w:tr>
      <w:tr>
        <w:trPr>
          <w:trHeight w:val="122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45-11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卒中防治与康复设备的临床转化</w:t>
            </w:r>
          </w:p>
        </w:tc>
        <w:tc>
          <w:tcPr>
            <w:tcW w:w="3549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吉训明</w:t>
            </w:r>
          </w:p>
        </w:tc>
      </w:tr>
      <w:tr>
        <w:trPr>
          <w:trHeight w:val="128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00-11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 xml:space="preserve">30     </w:t>
            </w:r>
            <w:r>
              <w:rPr>
                <w:rFonts w:ascii="宋体" w:eastAsia="宋体" w:hAnsi="宋体" w:hint="eastAsia"/>
                <w:sz w:val="24"/>
              </w:rPr>
              <w:t>茶歇、合影</w:t>
            </w:r>
          </w:p>
        </w:tc>
      </w:tr>
      <w:tr>
        <w:trPr>
          <w:trHeight w:val="409"/>
        </w:trPr>
        <w:tc>
          <w:tcPr>
            <w:tcW w:w="6374" w:type="dxa"/>
            <w:gridSpan w:val="2"/>
            <w:tcBorders>
              <w:top w:val="nil"/>
              <w:bottom w:val="nil"/>
              <w:right w:val="nil"/>
            </w:tcBorders>
            <w:shd w:val="solid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主题发言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shd w:val="solid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主持人：陈雪丽、陈亚平</w:t>
            </w:r>
          </w:p>
        </w:tc>
      </w:tr>
      <w:tr>
        <w:trPr>
          <w:trHeight w:val="221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30-11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TMS应用于神经康复的新思路新策略</w:t>
            </w:r>
          </w:p>
        </w:tc>
        <w:tc>
          <w:tcPr>
            <w:tcW w:w="3549" w:type="dxa"/>
            <w:tcBorders>
              <w:top w:val="nil"/>
              <w:lef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胡昔权</w:t>
            </w:r>
            <w:proofErr w:type="gramEnd"/>
          </w:p>
        </w:tc>
      </w:tr>
      <w:tr>
        <w:trPr>
          <w:trHeight w:val="340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45-12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智能技术在神经康复中的应用</w:t>
            </w:r>
          </w:p>
        </w:tc>
        <w:tc>
          <w:tcPr>
            <w:tcW w:w="3549" w:type="dxa"/>
            <w:tcBorders>
              <w:left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臧大维</w:t>
            </w:r>
          </w:p>
        </w:tc>
      </w:tr>
      <w:tr>
        <w:trPr>
          <w:trHeight w:val="865"/>
        </w:trPr>
        <w:tc>
          <w:tcPr>
            <w:tcW w:w="2122" w:type="dxa"/>
            <w:tcBorders>
              <w:top w:val="nil"/>
              <w:bottom w:val="single" w:sz="8" w:space="0" w:color="auto"/>
              <w:right w:val="nil"/>
            </w:tcBorders>
            <w:shd w:val="clear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12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00-13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BDD6EE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午餐</w:t>
            </w:r>
          </w:p>
        </w:tc>
      </w:tr>
      <w:tr>
        <w:trPr>
          <w:trHeight w:val="536"/>
        </w:trPr>
        <w:tc>
          <w:tcPr>
            <w:tcW w:w="9923" w:type="dxa"/>
            <w:gridSpan w:val="3"/>
            <w:tcBorders>
              <w:top w:val="single" w:sz="8" w:space="0" w:color="auto"/>
              <w:bottom w:val="nil"/>
            </w:tcBorders>
            <w:shd w:val="solid" w:color="BDD6EE" w:themeColor="accent1" w:themeTint="66" w:fill="auto"/>
          </w:tcPr>
          <w:p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学术论坛：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脑卒中减残康复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论坛</w:t>
            </w:r>
          </w:p>
        </w:tc>
      </w:tr>
      <w:tr>
        <w:trPr>
          <w:trHeight w:val="525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</w:t>
            </w:r>
          </w:p>
        </w:tc>
        <w:tc>
          <w:tcPr>
            <w:tcW w:w="3549" w:type="dxa"/>
            <w:tcBorders>
              <w:left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主持人：谢瑛、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</w:rPr>
              <w:t>郄淑燕</w:t>
            </w:r>
            <w:proofErr w:type="gramEnd"/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13:30-13:50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神经电生理检测的临床应用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王红星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13:50-14:20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脑损伤的规范化康复治疗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刘建华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14:20-14:40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神经调控在卒中患者治疗中的应用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姜悦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14:40-15:00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脑卒中功能障碍物理治疗的思考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南海鸥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shd w:val="solid" w:color="BDD6EE" w:themeColor="accent1" w:themeTint="66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15:00-15:30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nil"/>
            </w:tcBorders>
            <w:shd w:val="solid" w:color="BDD6EE" w:themeColor="accent1" w:themeTint="66" w:fill="auto"/>
          </w:tcPr>
          <w:p>
            <w:pPr>
              <w:widowControl/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茶歇</w:t>
            </w:r>
            <w:proofErr w:type="gramEnd"/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主持人：马艳红、苏敏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15:30-15:50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认知功能障碍多模态评估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吕泽平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15:50-16:20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偏侧忽略的神经机制研究及进展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曹磊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16:20-16:40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痉挛筋膜机制探讨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武俊英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16:40-17:05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病例分享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17:05-17:30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病例分享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</w:t>
            </w:r>
          </w:p>
        </w:tc>
      </w:tr>
    </w:tbl>
    <w:p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52</cp:revision>
  <dcterms:created xsi:type="dcterms:W3CDTF">2024-04-09T02:07:00Z</dcterms:created>
  <dcterms:modified xsi:type="dcterms:W3CDTF">2024-04-09T03:32:00Z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9515E84CE1D54B38BE334C62B49DD4DA</vt:lpwstr>
  </property>
</Properties>
</file>